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548A2" w14:textId="03E57E69" w:rsidR="009F5631" w:rsidRPr="00701D75" w:rsidRDefault="00701D75">
      <w:pPr>
        <w:rPr>
          <w:b/>
          <w:bCs/>
        </w:rPr>
      </w:pPr>
      <w:r w:rsidRPr="00701D75">
        <w:rPr>
          <w:b/>
          <w:bCs/>
        </w:rPr>
        <w:t>Lühiülevaade Võru valla 2023. aasta eelarvest.</w:t>
      </w:r>
    </w:p>
    <w:p w14:paraId="40E78119" w14:textId="77777777" w:rsidR="00624326" w:rsidRDefault="00701D75" w:rsidP="00484CC3">
      <w:pPr>
        <w:jc w:val="both"/>
      </w:pPr>
      <w:r>
        <w:t xml:space="preserve">2023. aasta eelarve suurimaks väljakutseks on järsk energiahindade ja palkade tõus, mis oluliselt mõjutab valla </w:t>
      </w:r>
      <w:r w:rsidR="00484CC3">
        <w:t xml:space="preserve">võimalusi arengukavas ja eelarvestrateegias kavandatud eesmärkide elluviimist. Eelarve koostamisel vaadati üle kõik tegevused, et kasvanud hindade tingimustes võimalikult vahe suurendada eelarve tegevuskulusid. </w:t>
      </w:r>
      <w:r w:rsidR="00624326">
        <w:t>E</w:t>
      </w:r>
      <w:r w:rsidR="00484CC3">
        <w:t xml:space="preserve">elarve </w:t>
      </w:r>
      <w:r w:rsidR="00624326">
        <w:t xml:space="preserve">võimaldab </w:t>
      </w:r>
      <w:r w:rsidR="00484CC3">
        <w:t>taotleda valla arengukavas sõnastatud eesmärke</w:t>
      </w:r>
      <w:r w:rsidR="00624326">
        <w:t>. Muuhulgas ei pidanud vald loobuma lubadusest hoida lasteaia õpetajate palgad õpetajate riikliku miinimumpalga tasemel.</w:t>
      </w:r>
    </w:p>
    <w:p w14:paraId="7119FF79" w14:textId="77777777" w:rsidR="00624326" w:rsidRDefault="00624326" w:rsidP="00484CC3">
      <w:pPr>
        <w:jc w:val="both"/>
      </w:pPr>
    </w:p>
    <w:p w14:paraId="001F46A6" w14:textId="77777777" w:rsidR="00624326" w:rsidRDefault="00624326" w:rsidP="00484CC3">
      <w:pPr>
        <w:jc w:val="both"/>
      </w:pPr>
      <w:r>
        <w:t>2023. aasta eelarve:</w:t>
      </w:r>
    </w:p>
    <w:p w14:paraId="645E6EFC" w14:textId="33224D06" w:rsidR="00701D75" w:rsidRDefault="00624326" w:rsidP="00624326">
      <w:pPr>
        <w:pStyle w:val="Loendilik"/>
        <w:numPr>
          <w:ilvl w:val="0"/>
          <w:numId w:val="1"/>
        </w:numPr>
        <w:jc w:val="both"/>
      </w:pPr>
      <w:r>
        <w:t>tegevustulud on 20,33 miljonit eurot,</w:t>
      </w:r>
    </w:p>
    <w:p w14:paraId="474D8AFC" w14:textId="057AE649" w:rsidR="00624326" w:rsidRDefault="00624326" w:rsidP="00624326">
      <w:pPr>
        <w:pStyle w:val="Loendilik"/>
        <w:numPr>
          <w:ilvl w:val="0"/>
          <w:numId w:val="1"/>
        </w:numPr>
        <w:jc w:val="both"/>
      </w:pPr>
      <w:r>
        <w:t>tegevuskulud on 1</w:t>
      </w:r>
      <w:r w:rsidR="002B7174">
        <w:t>9</w:t>
      </w:r>
      <w:r>
        <w:t>,87 miljonit eurot,</w:t>
      </w:r>
    </w:p>
    <w:p w14:paraId="7A6AC7E7" w14:textId="34346997" w:rsidR="00624326" w:rsidRDefault="00624326" w:rsidP="00624326">
      <w:pPr>
        <w:pStyle w:val="Loendilik"/>
        <w:numPr>
          <w:ilvl w:val="0"/>
          <w:numId w:val="1"/>
        </w:numPr>
        <w:jc w:val="both"/>
      </w:pPr>
      <w:r>
        <w:t>investeerimise kulud on 5,43 miljonit eurot,</w:t>
      </w:r>
    </w:p>
    <w:p w14:paraId="59C3A7C9" w14:textId="4C9B6A50" w:rsidR="00624326" w:rsidRDefault="006B6BCC" w:rsidP="00624326">
      <w:pPr>
        <w:pStyle w:val="Loendilik"/>
        <w:numPr>
          <w:ilvl w:val="0"/>
          <w:numId w:val="1"/>
        </w:numPr>
        <w:jc w:val="both"/>
      </w:pPr>
      <w:r>
        <w:t>vald laenab</w:t>
      </w:r>
      <w:r w:rsidR="00624326">
        <w:t xml:space="preserve"> 4,5 miljonit eurot</w:t>
      </w:r>
      <w:r w:rsidR="004F1627">
        <w:t>.</w:t>
      </w:r>
    </w:p>
    <w:p w14:paraId="561A6FC8" w14:textId="6D278E0B" w:rsidR="004F1627" w:rsidRDefault="004F1627" w:rsidP="004F1627">
      <w:pPr>
        <w:jc w:val="both"/>
        <w:rPr>
          <w:b/>
          <w:bCs/>
        </w:rPr>
      </w:pPr>
      <w:r w:rsidRPr="004F1627">
        <w:rPr>
          <w:b/>
          <w:bCs/>
        </w:rPr>
        <w:t>Põhitegevuse tulud</w:t>
      </w:r>
    </w:p>
    <w:p w14:paraId="0F85511E" w14:textId="77777777" w:rsidR="002B7174" w:rsidRDefault="00023480" w:rsidP="004F1627">
      <w:pPr>
        <w:jc w:val="both"/>
      </w:pPr>
      <w:r>
        <w:fldChar w:fldCharType="begin"/>
      </w:r>
      <w:r>
        <w:instrText xml:space="preserve"> LINK </w:instrText>
      </w:r>
      <w:r w:rsidR="002B7174">
        <w:instrText xml:space="preserve">Excel.Sheet.12 "C:\\Users\\Jaano\\Documents\\eelarve\\EA2023 seletuskirja tabelid_2.xlsx" tulud!R20C1:R30C3 </w:instrText>
      </w:r>
      <w:r>
        <w:instrText xml:space="preserve">\a \f 4 \h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175"/>
        <w:gridCol w:w="1881"/>
      </w:tblGrid>
      <w:tr w:rsidR="002B7174" w:rsidRPr="002B7174" w14:paraId="421BC7AA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94BC" w14:textId="48B62A65" w:rsidR="002B7174" w:rsidRPr="002B7174" w:rsidRDefault="002B7174" w:rsidP="002B7174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Võru valla põhitegevuse tulud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DA3E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2023 eelarve, €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76BC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Osatähtsus, %</w:t>
            </w:r>
          </w:p>
        </w:tc>
      </w:tr>
      <w:tr w:rsidR="002B7174" w:rsidRPr="002B7174" w14:paraId="5903F40D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9588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Kokku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4E8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20 334 237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FB3C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 </w:t>
            </w:r>
          </w:p>
        </w:tc>
      </w:tr>
      <w:tr w:rsidR="002B7174" w:rsidRPr="002B7174" w14:paraId="6D58AB43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8CF7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 xml:space="preserve">   Maksutulud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84F9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10 447 000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0280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51%</w:t>
            </w:r>
          </w:p>
        </w:tc>
      </w:tr>
      <w:tr w:rsidR="002B7174" w:rsidRPr="002B7174" w14:paraId="32410704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089C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 xml:space="preserve">      sh tulumaks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340B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>10 085 000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6F13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>50%</w:t>
            </w:r>
          </w:p>
        </w:tc>
      </w:tr>
      <w:tr w:rsidR="002B7174" w:rsidRPr="002B7174" w14:paraId="2827BE17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F980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 xml:space="preserve">      sh maamaks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5D32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>362 000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1BC1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>2%</w:t>
            </w:r>
          </w:p>
        </w:tc>
      </w:tr>
      <w:tr w:rsidR="002B7174" w:rsidRPr="002B7174" w14:paraId="0500F38F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3F51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 xml:space="preserve">   Tulud kaupade ja teenuste müügist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BA6C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1 544 997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3AF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8%</w:t>
            </w:r>
          </w:p>
        </w:tc>
      </w:tr>
      <w:tr w:rsidR="002B7174" w:rsidRPr="002B7174" w14:paraId="2F4AF868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6668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 xml:space="preserve">   Saadavad toetused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52C2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8 227 240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D868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40%</w:t>
            </w:r>
          </w:p>
        </w:tc>
      </w:tr>
      <w:tr w:rsidR="002B7174" w:rsidRPr="002B7174" w14:paraId="57C8D329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7376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 xml:space="preserve">      sh tasandusfond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7339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>2 468 390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2721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>12%</w:t>
            </w:r>
          </w:p>
        </w:tc>
      </w:tr>
      <w:tr w:rsidR="002B7174" w:rsidRPr="002B7174" w14:paraId="7824AA22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23F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 xml:space="preserve">      sh toetusfond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F95F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>5 698 659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8D39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>28%</w:t>
            </w:r>
          </w:p>
        </w:tc>
      </w:tr>
      <w:tr w:rsidR="002B7174" w:rsidRPr="002B7174" w14:paraId="3F366BC5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FCE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 xml:space="preserve">      sh muud saadud toetused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1993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>60 191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1124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2B7174">
              <w:rPr>
                <w:rFonts w:eastAsia="Times New Roman"/>
                <w:lang w:eastAsia="et-EE"/>
              </w:rPr>
              <w:t>0%</w:t>
            </w:r>
          </w:p>
        </w:tc>
      </w:tr>
      <w:tr w:rsidR="002B7174" w:rsidRPr="002B7174" w14:paraId="0ECC47D2" w14:textId="77777777" w:rsidTr="002B7174">
        <w:trPr>
          <w:divId w:val="32193657"/>
          <w:trHeight w:val="315"/>
        </w:trPr>
        <w:tc>
          <w:tcPr>
            <w:tcW w:w="2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284E" w14:textId="77777777" w:rsidR="002B7174" w:rsidRPr="002B7174" w:rsidRDefault="002B7174" w:rsidP="002B7174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 xml:space="preserve">   Muud tegevuskulud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39A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115 000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ECA" w14:textId="77777777" w:rsidR="002B7174" w:rsidRPr="002B7174" w:rsidRDefault="002B7174" w:rsidP="002B7174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2B7174">
              <w:rPr>
                <w:rFonts w:eastAsia="Times New Roman"/>
                <w:b/>
                <w:bCs/>
                <w:lang w:eastAsia="et-EE"/>
              </w:rPr>
              <w:t>1%</w:t>
            </w:r>
          </w:p>
        </w:tc>
      </w:tr>
    </w:tbl>
    <w:p w14:paraId="2181269F" w14:textId="7DF64074" w:rsidR="004F1627" w:rsidRDefault="00023480" w:rsidP="004F1627">
      <w:pPr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6B13AFD4" w14:textId="1D3E5C36" w:rsidR="00023480" w:rsidRDefault="00023480" w:rsidP="004F1627">
      <w:pPr>
        <w:jc w:val="both"/>
      </w:pPr>
      <w:r w:rsidRPr="00023480">
        <w:t>Põhitegevuse tuludeks kokku on kavandatud 20,33 miljonit eurot</w:t>
      </w:r>
      <w:r>
        <w:t>, mis võrreldes 2022. aasta tegelikuga on 7% rohkem. Tulumaksu on kavandatud eelarvesse 10,0</w:t>
      </w:r>
      <w:r w:rsidR="006B6BCC">
        <w:t>9</w:t>
      </w:r>
      <w:r>
        <w:t xml:space="preserve"> miljonit eurot ja see on 2022. aasta tegelikust 9% rohkem, tulumaks moodustab 50% valla tuludest.</w:t>
      </w:r>
    </w:p>
    <w:p w14:paraId="0DC0F8A6" w14:textId="77777777" w:rsidR="001519C7" w:rsidRDefault="00023480" w:rsidP="004F1627">
      <w:pPr>
        <w:jc w:val="both"/>
      </w:pPr>
      <w:r>
        <w:t xml:space="preserve">Tuludes kaupade ja teenuste müügist kajastatakse tulusid alusharidusteenuse, üldharidusteenuse ja huvikooli teenuse eest teistelt omavalitsustelt, lasteaedade toiduraha, õppekulude ja ringitasude summasid lapsevanematelt. </w:t>
      </w:r>
      <w:r w:rsidR="001519C7">
        <w:t>Siin sisalduvad valla üüritulud,  laekumine hooldusravi eest ning muud hallatavate asutuste ja struktuuriüksuste teenuste eest laekuvad tulud.</w:t>
      </w:r>
    </w:p>
    <w:p w14:paraId="507F0FFF" w14:textId="77777777" w:rsidR="001519C7" w:rsidRDefault="001519C7" w:rsidP="004F1627">
      <w:pPr>
        <w:jc w:val="both"/>
      </w:pPr>
      <w:r>
        <w:t>Muude tegevustulude all kajastatakse tulud vee erikasutusest ja kaevandamisõiguste tasud.</w:t>
      </w:r>
    </w:p>
    <w:p w14:paraId="45FE18AE" w14:textId="77777777" w:rsidR="001519C7" w:rsidRDefault="001519C7">
      <w:r>
        <w:br w:type="page"/>
      </w:r>
    </w:p>
    <w:p w14:paraId="79417DB9" w14:textId="006256FB" w:rsidR="00023480" w:rsidRDefault="001519C7" w:rsidP="004F1627">
      <w:pPr>
        <w:jc w:val="both"/>
        <w:rPr>
          <w:b/>
          <w:bCs/>
        </w:rPr>
      </w:pPr>
      <w:r w:rsidRPr="001519C7">
        <w:rPr>
          <w:b/>
          <w:bCs/>
        </w:rPr>
        <w:lastRenderedPageBreak/>
        <w:t>Põhitegevuse kulud</w:t>
      </w:r>
      <w:r w:rsidR="00023480" w:rsidRPr="001519C7">
        <w:rPr>
          <w:b/>
          <w:bCs/>
        </w:rPr>
        <w:t xml:space="preserve"> </w:t>
      </w:r>
    </w:p>
    <w:p w14:paraId="0916C993" w14:textId="77777777" w:rsidR="00E36EFB" w:rsidRDefault="00651029" w:rsidP="004F1627">
      <w:pPr>
        <w:jc w:val="both"/>
      </w:pPr>
      <w:r>
        <w:fldChar w:fldCharType="begin"/>
      </w:r>
      <w:r>
        <w:instrText xml:space="preserve"> LINK </w:instrText>
      </w:r>
      <w:r w:rsidR="002B7174">
        <w:instrText xml:space="preserve">Excel.Sheet.12 "C:\\Users\\Jaano\\Documents\\eelarve\\EA2023 seletuskirja tabelid_2.xlsx" kulud!R44C1:R50C3 </w:instrText>
      </w:r>
      <w:r>
        <w:instrText xml:space="preserve">\a \f 4 \h </w:instrText>
      </w:r>
      <w: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6"/>
        <w:gridCol w:w="2591"/>
        <w:gridCol w:w="2149"/>
      </w:tblGrid>
      <w:tr w:rsidR="00E36EFB" w:rsidRPr="00E36EFB" w14:paraId="3AC2288E" w14:textId="77777777" w:rsidTr="00E36EFB">
        <w:trPr>
          <w:divId w:val="2084601475"/>
          <w:trHeight w:val="315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DE32" w14:textId="29B7BE93" w:rsidR="00E36EFB" w:rsidRPr="00E36EFB" w:rsidRDefault="00E36EFB" w:rsidP="00E36EFB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>Võru valla põhitegevuse kulud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F336" w14:textId="77777777" w:rsidR="00E36EFB" w:rsidRPr="00E36EFB" w:rsidRDefault="00E36EFB" w:rsidP="00E36EFB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>2023 eelarve, €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50A9" w14:textId="77777777" w:rsidR="00E36EFB" w:rsidRPr="00E36EFB" w:rsidRDefault="00E36EFB" w:rsidP="00E36EFB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>osatähtsus, %</w:t>
            </w:r>
          </w:p>
        </w:tc>
      </w:tr>
      <w:tr w:rsidR="00E36EFB" w:rsidRPr="00E36EFB" w14:paraId="7FA33ED6" w14:textId="77777777" w:rsidTr="00E36EFB">
        <w:trPr>
          <w:divId w:val="2084601475"/>
          <w:trHeight w:val="315"/>
        </w:trPr>
        <w:tc>
          <w:tcPr>
            <w:tcW w:w="2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9C2A" w14:textId="77777777" w:rsidR="00E36EFB" w:rsidRPr="00E36EFB" w:rsidRDefault="00E36EFB" w:rsidP="00E36EFB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>Kokku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C329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>19 871 361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D5CE" w14:textId="77777777" w:rsidR="00E36EFB" w:rsidRPr="00E36EFB" w:rsidRDefault="00E36EFB" w:rsidP="00E36EFB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> </w:t>
            </w:r>
          </w:p>
        </w:tc>
      </w:tr>
      <w:tr w:rsidR="00E36EFB" w:rsidRPr="00E36EFB" w14:paraId="0124E10E" w14:textId="77777777" w:rsidTr="00E36EFB">
        <w:trPr>
          <w:divId w:val="2084601475"/>
          <w:trHeight w:val="315"/>
        </w:trPr>
        <w:tc>
          <w:tcPr>
            <w:tcW w:w="2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9373" w14:textId="77777777" w:rsidR="00E36EFB" w:rsidRPr="00E36EFB" w:rsidRDefault="00E36EFB" w:rsidP="00E36EFB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 xml:space="preserve">   Antavad toetused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786C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>1 462 218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9250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>7%</w:t>
            </w:r>
          </w:p>
        </w:tc>
      </w:tr>
      <w:tr w:rsidR="00E36EFB" w:rsidRPr="00E36EFB" w14:paraId="2D4C16FB" w14:textId="77777777" w:rsidTr="00E36EFB">
        <w:trPr>
          <w:divId w:val="2084601475"/>
          <w:trHeight w:val="315"/>
        </w:trPr>
        <w:tc>
          <w:tcPr>
            <w:tcW w:w="2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8F54" w14:textId="77777777" w:rsidR="00E36EFB" w:rsidRPr="00E36EFB" w:rsidRDefault="00E36EFB" w:rsidP="00E36EFB">
            <w:pPr>
              <w:spacing w:after="0" w:line="240" w:lineRule="auto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 xml:space="preserve">   Muud tegevuskulud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8108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>18 409 143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C421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et-EE"/>
              </w:rPr>
            </w:pPr>
            <w:r w:rsidRPr="00E36EFB">
              <w:rPr>
                <w:rFonts w:eastAsia="Times New Roman"/>
                <w:b/>
                <w:bCs/>
                <w:lang w:eastAsia="et-EE"/>
              </w:rPr>
              <w:t>93%</w:t>
            </w:r>
          </w:p>
        </w:tc>
      </w:tr>
      <w:tr w:rsidR="00E36EFB" w:rsidRPr="00E36EFB" w14:paraId="73F26BCB" w14:textId="77777777" w:rsidTr="00E36EFB">
        <w:trPr>
          <w:divId w:val="2084601475"/>
          <w:trHeight w:val="315"/>
        </w:trPr>
        <w:tc>
          <w:tcPr>
            <w:tcW w:w="2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71B9" w14:textId="77777777" w:rsidR="00E36EFB" w:rsidRPr="00E36EFB" w:rsidRDefault="00E36EFB" w:rsidP="00E36EFB">
            <w:pPr>
              <w:spacing w:after="0" w:line="240" w:lineRule="auto"/>
              <w:rPr>
                <w:rFonts w:eastAsia="Times New Roman"/>
                <w:lang w:eastAsia="et-EE"/>
              </w:rPr>
            </w:pPr>
            <w:r w:rsidRPr="00E36EFB">
              <w:rPr>
                <w:rFonts w:eastAsia="Times New Roman"/>
                <w:lang w:eastAsia="et-EE"/>
              </w:rPr>
              <w:t xml:space="preserve">      sh personalikulud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BE8B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E36EFB">
              <w:rPr>
                <w:rFonts w:eastAsia="Times New Roman"/>
                <w:lang w:eastAsia="et-EE"/>
              </w:rPr>
              <w:t>11 161 886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A965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E36EFB">
              <w:rPr>
                <w:rFonts w:eastAsia="Times New Roman"/>
                <w:lang w:eastAsia="et-EE"/>
              </w:rPr>
              <w:t>56%</w:t>
            </w:r>
          </w:p>
        </w:tc>
      </w:tr>
      <w:tr w:rsidR="00E36EFB" w:rsidRPr="00E36EFB" w14:paraId="7DCD522B" w14:textId="77777777" w:rsidTr="00E36EFB">
        <w:trPr>
          <w:divId w:val="2084601475"/>
          <w:trHeight w:val="315"/>
        </w:trPr>
        <w:tc>
          <w:tcPr>
            <w:tcW w:w="2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3E5D" w14:textId="77777777" w:rsidR="00E36EFB" w:rsidRPr="00E36EFB" w:rsidRDefault="00E36EFB" w:rsidP="00E36EFB">
            <w:pPr>
              <w:spacing w:after="0" w:line="240" w:lineRule="auto"/>
              <w:rPr>
                <w:rFonts w:eastAsia="Times New Roman"/>
                <w:lang w:eastAsia="et-EE"/>
              </w:rPr>
            </w:pPr>
            <w:r w:rsidRPr="00E36EFB">
              <w:rPr>
                <w:rFonts w:eastAsia="Times New Roman"/>
                <w:lang w:eastAsia="et-EE"/>
              </w:rPr>
              <w:t xml:space="preserve">      sh majandamiskulud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33C0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E36EFB">
              <w:rPr>
                <w:rFonts w:eastAsia="Times New Roman"/>
                <w:lang w:eastAsia="et-EE"/>
              </w:rPr>
              <w:t>6 945 207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2EE7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E36EFB">
              <w:rPr>
                <w:rFonts w:eastAsia="Times New Roman"/>
                <w:lang w:eastAsia="et-EE"/>
              </w:rPr>
              <w:t>35%</w:t>
            </w:r>
          </w:p>
        </w:tc>
      </w:tr>
      <w:tr w:rsidR="00E36EFB" w:rsidRPr="00E36EFB" w14:paraId="326B4F82" w14:textId="77777777" w:rsidTr="00E36EFB">
        <w:trPr>
          <w:divId w:val="2084601475"/>
          <w:trHeight w:val="315"/>
        </w:trPr>
        <w:tc>
          <w:tcPr>
            <w:tcW w:w="2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3E5F" w14:textId="77777777" w:rsidR="00E36EFB" w:rsidRPr="00E36EFB" w:rsidRDefault="00E36EFB" w:rsidP="00E36EFB">
            <w:pPr>
              <w:spacing w:after="0" w:line="240" w:lineRule="auto"/>
              <w:rPr>
                <w:rFonts w:eastAsia="Times New Roman"/>
                <w:lang w:eastAsia="et-EE"/>
              </w:rPr>
            </w:pPr>
            <w:r w:rsidRPr="00E36EFB">
              <w:rPr>
                <w:rFonts w:eastAsia="Times New Roman"/>
                <w:lang w:eastAsia="et-EE"/>
              </w:rPr>
              <w:t xml:space="preserve">      sh muud kulud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9B00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E36EFB">
              <w:rPr>
                <w:rFonts w:eastAsia="Times New Roman"/>
                <w:lang w:eastAsia="et-EE"/>
              </w:rPr>
              <w:t>302 050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3CB3" w14:textId="77777777" w:rsidR="00E36EFB" w:rsidRPr="00E36EFB" w:rsidRDefault="00E36EFB" w:rsidP="00E36EFB">
            <w:pPr>
              <w:spacing w:after="0" w:line="240" w:lineRule="auto"/>
              <w:jc w:val="right"/>
              <w:rPr>
                <w:rFonts w:eastAsia="Times New Roman"/>
                <w:lang w:eastAsia="et-EE"/>
              </w:rPr>
            </w:pPr>
            <w:r w:rsidRPr="00E36EFB">
              <w:rPr>
                <w:rFonts w:eastAsia="Times New Roman"/>
                <w:lang w:eastAsia="et-EE"/>
              </w:rPr>
              <w:t>2%</w:t>
            </w:r>
          </w:p>
        </w:tc>
      </w:tr>
    </w:tbl>
    <w:p w14:paraId="7842B0E7" w14:textId="154EB874" w:rsidR="001519C7" w:rsidRDefault="00651029" w:rsidP="004F1627">
      <w:pPr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2D676367" w14:textId="004F4629" w:rsidR="00651029" w:rsidRDefault="00651029" w:rsidP="004F1627">
      <w:pPr>
        <w:jc w:val="both"/>
      </w:pPr>
      <w:r w:rsidRPr="00651029">
        <w:t>Põhitegevuse kulud on kavandatud mahus</w:t>
      </w:r>
      <w:r>
        <w:t xml:space="preserve"> 19,87 miljonit eurot, mis on 2022. aasta tegelikuga võrreldes 18% enam. Võrreldes 2022. aasta tegelikuga kasvasid palgakulud 1</w:t>
      </w:r>
      <w:r w:rsidR="006D3771">
        <w:t>9</w:t>
      </w:r>
      <w:r>
        <w:t>%,</w:t>
      </w:r>
      <w:r w:rsidR="006D3771">
        <w:t xml:space="preserve"> ja majandamiskulud 13%.</w:t>
      </w:r>
      <w:r>
        <w:t xml:space="preserve"> Palgakulud</w:t>
      </w:r>
      <w:r w:rsidR="006D3771">
        <w:t>e kasvu tingis</w:t>
      </w:r>
      <w:r>
        <w:t xml:space="preserve"> riikliku miinimumpalga ja õpetajate miinimumpalga tõus</w:t>
      </w:r>
      <w:r w:rsidR="006D3771">
        <w:t xml:space="preserve"> ning sellest tulenev vajadus valla muu personali palkade korrigeerimiseks. Majanduskulude kasvu suurimaks teguriks on järsk </w:t>
      </w:r>
      <w:r w:rsidR="006D3771" w:rsidRPr="006D3771">
        <w:t xml:space="preserve"> </w:t>
      </w:r>
      <w:r w:rsidR="006D3771">
        <w:t>soojusenergia (võrreldes 2022. aasta tegelikuga 49%) ja elektri (võrreldes 2022. tegelikuga 56%) hinnatõus.</w:t>
      </w:r>
    </w:p>
    <w:p w14:paraId="7C433B6D" w14:textId="63D2EB80" w:rsidR="006D3771" w:rsidRDefault="006D3771" w:rsidP="004F1627">
      <w:pPr>
        <w:jc w:val="both"/>
      </w:pPr>
      <w:r>
        <w:t>2023. aasta põhitegevuse kulud</w:t>
      </w:r>
      <w:r w:rsidR="006B6BCC">
        <w:t>e ja</w:t>
      </w:r>
      <w:r w:rsidR="00E0761C">
        <w:t>otus</w:t>
      </w:r>
      <w:r>
        <w:t xml:space="preserve"> kululiikide alusel</w:t>
      </w:r>
      <w:r w:rsidR="00FF1B8A">
        <w:t>:</w:t>
      </w:r>
    </w:p>
    <w:p w14:paraId="626AC5EE" w14:textId="77777777" w:rsidR="0056520E" w:rsidRDefault="0056520E" w:rsidP="004F1627">
      <w:pPr>
        <w:jc w:val="both"/>
      </w:pPr>
    </w:p>
    <w:p w14:paraId="5ED7759D" w14:textId="28D4D0B9" w:rsidR="00FF1B8A" w:rsidRDefault="00744143" w:rsidP="004F1627">
      <w:pPr>
        <w:jc w:val="both"/>
      </w:pPr>
      <w:r>
        <w:rPr>
          <w:noProof/>
        </w:rPr>
        <w:drawing>
          <wp:inline distT="0" distB="0" distL="0" distR="0" wp14:anchorId="07582094" wp14:editId="08D7C1F7">
            <wp:extent cx="5791200" cy="2743200"/>
            <wp:effectExtent l="0" t="0" r="0" b="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4FDD430-BADB-8B98-8569-D2EA21F519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1F6208C" w14:textId="77777777" w:rsidR="00744143" w:rsidRDefault="00744143" w:rsidP="004F1627">
      <w:pPr>
        <w:jc w:val="both"/>
      </w:pPr>
    </w:p>
    <w:p w14:paraId="3B0DF11B" w14:textId="77777777" w:rsidR="00744143" w:rsidRDefault="00744143" w:rsidP="004F1627">
      <w:pPr>
        <w:jc w:val="both"/>
      </w:pPr>
    </w:p>
    <w:p w14:paraId="69FDDDC9" w14:textId="53C615F5" w:rsidR="00744143" w:rsidRDefault="00744143">
      <w:r>
        <w:br w:type="page"/>
      </w:r>
    </w:p>
    <w:p w14:paraId="33E8C0C0" w14:textId="680921D4" w:rsidR="00FF1B8A" w:rsidRDefault="00FF1B8A" w:rsidP="004F1627">
      <w:pPr>
        <w:jc w:val="both"/>
      </w:pPr>
      <w:r>
        <w:lastRenderedPageBreak/>
        <w:t>2023. aasta põhitegevuse kulude ja</w:t>
      </w:r>
      <w:r w:rsidR="00E0761C">
        <w:t>otus</w:t>
      </w:r>
      <w:r>
        <w:t xml:space="preserve"> tegevusvaldkondade alusel:</w:t>
      </w:r>
    </w:p>
    <w:p w14:paraId="21F020C3" w14:textId="3E5D70F4" w:rsidR="00FF1B8A" w:rsidRDefault="00097FE6" w:rsidP="004F1627">
      <w:pPr>
        <w:jc w:val="both"/>
      </w:pPr>
      <w:r>
        <w:rPr>
          <w:noProof/>
        </w:rPr>
        <w:drawing>
          <wp:inline distT="0" distB="0" distL="0" distR="0" wp14:anchorId="514A72C2" wp14:editId="5F0716CD">
            <wp:extent cx="4491038" cy="2733675"/>
            <wp:effectExtent l="0" t="0" r="5080" b="9525"/>
            <wp:docPr id="3" name="Diagramm 3">
              <a:extLst xmlns:a="http://schemas.openxmlformats.org/drawingml/2006/main">
                <a:ext uri="{FF2B5EF4-FFF2-40B4-BE49-F238E27FC236}">
                  <a16:creationId xmlns:a16="http://schemas.microsoft.com/office/drawing/2014/main" id="{BEC930A5-56AC-20AE-5417-933B8BF342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19B790C" w14:textId="3691A134" w:rsidR="00FF1B8A" w:rsidRPr="00FF1B8A" w:rsidRDefault="00FF1B8A" w:rsidP="004F1627">
      <w:pPr>
        <w:jc w:val="both"/>
        <w:rPr>
          <w:b/>
          <w:bCs/>
        </w:rPr>
      </w:pPr>
      <w:r w:rsidRPr="00FF1B8A">
        <w:rPr>
          <w:b/>
          <w:bCs/>
        </w:rPr>
        <w:t>Investeeringud</w:t>
      </w:r>
    </w:p>
    <w:p w14:paraId="2BE5E11A" w14:textId="5C337983" w:rsidR="00AF0F38" w:rsidRDefault="00FF1B8A" w:rsidP="004F1627">
      <w:pPr>
        <w:jc w:val="both"/>
      </w:pPr>
      <w:r>
        <w:t>Eelarve kohaselt planeeritakse 2023. aastal kulutada investeeringuteks 6,19 miljonit eurot, millest 0,9 miljonit eurot loodetakse saada toetuste arvelt. Investeeringute rahastamiseks planeeritakse kasutada laenu summas 4,5 miljonit eurot.</w:t>
      </w:r>
      <w:r w:rsidR="00AF0F38">
        <w:t xml:space="preserve"> Suurimateks objektideks on 2022. aastal alustatud  Puiga koolihoone rekonstrueerimise ja juurdeehituse lõpetamine (</w:t>
      </w:r>
      <w:r w:rsidR="002E58F4">
        <w:t xml:space="preserve">projekti kogumaksumus 3,6 miljonit eurot, </w:t>
      </w:r>
      <w:r w:rsidR="00AF0F38">
        <w:t>2023. aasta summa 1,97 miljonit eurot) ja Sõmerpalu Lasteaia uue hoone ehitus (</w:t>
      </w:r>
      <w:r w:rsidR="002E58F4">
        <w:t xml:space="preserve">projekti </w:t>
      </w:r>
      <w:r w:rsidR="004030A9">
        <w:t xml:space="preserve">prognoositav </w:t>
      </w:r>
      <w:r w:rsidR="002E58F4">
        <w:t xml:space="preserve">kogumaksumus 4,3 miljonit eurot, </w:t>
      </w:r>
      <w:r w:rsidR="00AF0F38">
        <w:t>2023. aasta planeeritud kulu 3 miljonit eurot).</w:t>
      </w:r>
    </w:p>
    <w:p w14:paraId="0F1B08F8" w14:textId="77777777" w:rsidR="00AF0F38" w:rsidRDefault="00AF0F38" w:rsidP="004F1627">
      <w:pPr>
        <w:jc w:val="both"/>
        <w:rPr>
          <w:b/>
          <w:bCs/>
        </w:rPr>
      </w:pPr>
      <w:r w:rsidRPr="00AF0F38">
        <w:rPr>
          <w:b/>
          <w:bCs/>
        </w:rPr>
        <w:t>Likviid</w:t>
      </w:r>
      <w:r>
        <w:rPr>
          <w:b/>
          <w:bCs/>
        </w:rPr>
        <w:t>s</w:t>
      </w:r>
      <w:r w:rsidRPr="00AF0F38">
        <w:rPr>
          <w:b/>
          <w:bCs/>
        </w:rPr>
        <w:t>us</w:t>
      </w:r>
    </w:p>
    <w:p w14:paraId="0806F2CA" w14:textId="34CE6E92" w:rsidR="00651029" w:rsidRPr="00651029" w:rsidRDefault="00AF0F38" w:rsidP="004F1627">
      <w:pPr>
        <w:jc w:val="both"/>
      </w:pPr>
      <w:r w:rsidRPr="00B65D70">
        <w:t xml:space="preserve">31.12 2022 oli valla </w:t>
      </w:r>
      <w:r w:rsidR="00B65D70">
        <w:t xml:space="preserve">kohustustest vaba </w:t>
      </w:r>
      <w:r w:rsidRPr="00B65D70">
        <w:t>rahajääk</w:t>
      </w:r>
      <w:r w:rsidR="00B65D70" w:rsidRPr="00B65D70">
        <w:t xml:space="preserve"> </w:t>
      </w:r>
      <w:r w:rsidR="00B65D70">
        <w:t>1</w:t>
      </w:r>
      <w:r w:rsidR="00B65D70" w:rsidRPr="00B65D70">
        <w:t>,</w:t>
      </w:r>
      <w:r w:rsidR="00B65D70">
        <w:t xml:space="preserve">84 miljonit eurot, millest on planeeritud suunata eelarvesse 0,77 miljonit eurot. Eelarvega planeeritakse võtta laenu summas 4,5 miljonit eurot ja tasuda </w:t>
      </w:r>
      <w:r w:rsidR="00FF1B8A" w:rsidRPr="00B65D70">
        <w:t xml:space="preserve"> </w:t>
      </w:r>
      <w:r w:rsidR="00B65D70">
        <w:t xml:space="preserve">olemasolevaid laene ja liisinguid summas 0,31 miljonit eurot. Eeldatav  laenude ja kapitalirentide jääk aasta lõpuks on 6,08 miljonit eurot. </w:t>
      </w:r>
    </w:p>
    <w:sectPr w:rsidR="00651029" w:rsidRPr="006510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31BE1"/>
    <w:multiLevelType w:val="hybridMultilevel"/>
    <w:tmpl w:val="87BA6E40"/>
    <w:lvl w:ilvl="0" w:tplc="042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87242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75"/>
    <w:rsid w:val="00023480"/>
    <w:rsid w:val="00097FE6"/>
    <w:rsid w:val="001519C7"/>
    <w:rsid w:val="002B7174"/>
    <w:rsid w:val="002E58F4"/>
    <w:rsid w:val="004030A9"/>
    <w:rsid w:val="00484CC3"/>
    <w:rsid w:val="004C0CA2"/>
    <w:rsid w:val="004F1627"/>
    <w:rsid w:val="005030B5"/>
    <w:rsid w:val="0056520E"/>
    <w:rsid w:val="00624326"/>
    <w:rsid w:val="00651029"/>
    <w:rsid w:val="006B6BCC"/>
    <w:rsid w:val="006D3771"/>
    <w:rsid w:val="00701D75"/>
    <w:rsid w:val="00744143"/>
    <w:rsid w:val="009F5631"/>
    <w:rsid w:val="00AF0F38"/>
    <w:rsid w:val="00B65D70"/>
    <w:rsid w:val="00E0761C"/>
    <w:rsid w:val="00E36EFB"/>
    <w:rsid w:val="00E67661"/>
    <w:rsid w:val="00FB4B2C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3463"/>
  <w15:chartTrackingRefBased/>
  <w15:docId w15:val="{53D3B023-B987-431D-BAB3-38E7FB88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24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aano\Documents\eelarve\EA2023%20seletuskirja%20tabelid_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112-4A47-967F-E8AE2A35C5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112-4A47-967F-E8AE2A35C5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112-4A47-967F-E8AE2A35C5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112-4A47-967F-E8AE2A35C5FE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kulud!$A$53:$A$56</c:f>
              <c:strCache>
                <c:ptCount val="4"/>
                <c:pt idx="0">
                  <c:v>Antavad toetused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kulud!$B$53:$B$56</c:f>
              <c:numCache>
                <c:formatCode>#,##0</c:formatCode>
                <c:ptCount val="4"/>
                <c:pt idx="0">
                  <c:v>1456218</c:v>
                </c:pt>
                <c:pt idx="1">
                  <c:v>11161886</c:v>
                </c:pt>
                <c:pt idx="2">
                  <c:v>6945207</c:v>
                </c:pt>
                <c:pt idx="3">
                  <c:v>302050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112-4A47-967F-E8AE2A35C5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4E5-42F2-A946-BA18BEFBA1F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4E5-42F2-A946-BA18BEFBA1F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A4E5-42F2-A946-BA18BEFBA1F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A4E5-42F2-A946-BA18BEFBA1F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A4E5-42F2-A946-BA18BEFBA1F9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A4E5-42F2-A946-BA18BEFBA1F9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A4E5-42F2-A946-BA18BEFBA1F9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A4E5-42F2-A946-BA18BEFBA1F9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A4E5-42F2-A946-BA18BEFBA1F9}"/>
              </c:ext>
            </c:extLst>
          </c:dPt>
          <c:dLbls>
            <c:dLbl>
              <c:idx val="0"/>
              <c:layout>
                <c:manualLayout>
                  <c:x val="-5.93849350640097E-2"/>
                  <c:y val="0.315911730545876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E5-42F2-A946-BA18BEFBA1F9}"/>
                </c:ext>
              </c:extLst>
            </c:dLbl>
            <c:dLbl>
              <c:idx val="2"/>
              <c:layout>
                <c:manualLayout>
                  <c:x val="-1.0368678405921733E-16"/>
                  <c:y val="0.2555168408826945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E5-42F2-A946-BA18BEFBA1F9}"/>
                </c:ext>
              </c:extLst>
            </c:dLbl>
            <c:dLbl>
              <c:idx val="4"/>
              <c:layout>
                <c:manualLayout>
                  <c:x val="-0.10180274582401665"/>
                  <c:y val="0.4041811846689895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4E5-42F2-A946-BA18BEFBA1F9}"/>
                </c:ext>
              </c:extLst>
            </c:dLbl>
            <c:dLbl>
              <c:idx val="5"/>
              <c:layout>
                <c:manualLayout>
                  <c:x val="-0.19512192949603188"/>
                  <c:y val="2.787456445993031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4E5-42F2-A946-BA18BEFBA1F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kulud!$A$60:$A$65</c:f>
              <c:strCache>
                <c:ptCount val="6"/>
                <c:pt idx="0">
                  <c:v>Üldised valitsussektori teenused</c:v>
                </c:pt>
                <c:pt idx="1">
                  <c:v>Majandus</c:v>
                </c:pt>
                <c:pt idx="2">
                  <c:v>Vaba aeg, kultuur, religioon</c:v>
                </c:pt>
                <c:pt idx="3">
                  <c:v>Haridus</c:v>
                </c:pt>
                <c:pt idx="4">
                  <c:v>Sotsiaalne kaitse</c:v>
                </c:pt>
                <c:pt idx="5">
                  <c:v>Muud tegevusalad</c:v>
                </c:pt>
              </c:strCache>
            </c:strRef>
          </c:cat>
          <c:val>
            <c:numRef>
              <c:f>kulud!$B$60:$B$65</c:f>
              <c:numCache>
                <c:formatCode>#,##0</c:formatCode>
                <c:ptCount val="6"/>
                <c:pt idx="0">
                  <c:v>1223566</c:v>
                </c:pt>
                <c:pt idx="1">
                  <c:v>1347616</c:v>
                </c:pt>
                <c:pt idx="2">
                  <c:v>1687371</c:v>
                </c:pt>
                <c:pt idx="3">
                  <c:v>12742777</c:v>
                </c:pt>
                <c:pt idx="4">
                  <c:v>2311308</c:v>
                </c:pt>
                <c:pt idx="5">
                  <c:v>558723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4E5-42F2-A946-BA18BEFBA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588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Jaano Uibo</dc:creator>
  <cp:keywords/>
  <dc:description/>
  <cp:lastModifiedBy>Jaano Uibo</cp:lastModifiedBy>
  <cp:revision>8</cp:revision>
  <dcterms:created xsi:type="dcterms:W3CDTF">2023-02-03T06:33:00Z</dcterms:created>
  <dcterms:modified xsi:type="dcterms:W3CDTF">2023-02-16T08:32:00Z</dcterms:modified>
</cp:coreProperties>
</file>